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39C" w:rsidRPr="0081039C" w:rsidRDefault="0081039C" w:rsidP="0081039C">
      <w:pPr>
        <w:shd w:val="clear" w:color="auto" w:fill="FFFFFF"/>
        <w:spacing w:before="150" w:after="150" w:line="240" w:lineRule="auto"/>
        <w:jc w:val="center"/>
        <w:outlineLvl w:val="1"/>
        <w:rPr>
          <w:rFonts w:eastAsia="Times New Roman" w:cs="Times New Roman"/>
          <w:b/>
          <w:bCs/>
          <w:sz w:val="24"/>
          <w:szCs w:val="24"/>
        </w:rPr>
      </w:pPr>
      <w:r w:rsidRPr="005B524F">
        <w:rPr>
          <w:rFonts w:eastAsia="Times New Roman" w:cs="Times New Roman"/>
          <w:b/>
          <w:bCs/>
          <w:sz w:val="24"/>
          <w:szCs w:val="24"/>
        </w:rPr>
        <w:t>B</w:t>
      </w:r>
      <w:r w:rsidRPr="0081039C">
        <w:rPr>
          <w:rFonts w:eastAsia="Times New Roman" w:cs="Times New Roman"/>
          <w:b/>
          <w:bCs/>
          <w:sz w:val="24"/>
          <w:szCs w:val="24"/>
        </w:rPr>
        <w:t>ÀI THU HOẠCH </w:t>
      </w:r>
      <w:r w:rsidRPr="0081039C">
        <w:rPr>
          <w:rFonts w:eastAsia="Times New Roman" w:cs="Times New Roman"/>
          <w:b/>
          <w:bCs/>
          <w:sz w:val="24"/>
          <w:szCs w:val="24"/>
        </w:rPr>
        <w:br/>
        <w:t>Nghị quyết Hội nghị lần thứ sáu Ban Chấp hành</w:t>
      </w:r>
      <w:r w:rsidRPr="0081039C">
        <w:rPr>
          <w:rFonts w:eastAsia="Times New Roman" w:cs="Times New Roman"/>
          <w:b/>
          <w:bCs/>
          <w:sz w:val="24"/>
          <w:szCs w:val="24"/>
        </w:rPr>
        <w:br/>
        <w:t>Trung ương Đảng khóa XII</w:t>
      </w:r>
    </w:p>
    <w:p w:rsidR="0081039C" w:rsidRPr="005B524F" w:rsidRDefault="0081039C" w:rsidP="0081039C">
      <w:pPr>
        <w:pStyle w:val="NormalWeb"/>
        <w:shd w:val="clear" w:color="auto" w:fill="FFFFFF"/>
        <w:spacing w:before="0" w:beforeAutospacing="0" w:after="0" w:afterAutospacing="0"/>
        <w:jc w:val="both"/>
      </w:pPr>
      <w:r w:rsidRPr="005B524F">
        <w:rPr>
          <w:rStyle w:val="Strong"/>
          <w:bdr w:val="none" w:sz="0" w:space="0" w:color="auto" w:frame="1"/>
        </w:rPr>
        <w:t>Họ và tên:</w:t>
      </w:r>
      <w:r w:rsidRPr="005B524F">
        <w:t> </w:t>
      </w:r>
      <w:r w:rsidR="005B524F">
        <w:t>VÕ ANH HÀO</w:t>
      </w:r>
    </w:p>
    <w:p w:rsidR="0081039C" w:rsidRPr="005B524F" w:rsidRDefault="0081039C" w:rsidP="0081039C">
      <w:pPr>
        <w:pStyle w:val="NormalWeb"/>
        <w:shd w:val="clear" w:color="auto" w:fill="FFFFFF"/>
        <w:spacing w:before="0" w:beforeAutospacing="0" w:after="0" w:afterAutospacing="0"/>
        <w:jc w:val="both"/>
      </w:pPr>
      <w:r w:rsidRPr="005B524F">
        <w:rPr>
          <w:rStyle w:val="Strong"/>
          <w:bdr w:val="none" w:sz="0" w:space="0" w:color="auto" w:frame="1"/>
        </w:rPr>
        <w:t>Chức vụ:</w:t>
      </w:r>
      <w:r w:rsidRPr="005B524F">
        <w:t> </w:t>
      </w:r>
      <w:r w:rsidR="005B524F">
        <w:t>GIẢNG VIÊN</w:t>
      </w:r>
    </w:p>
    <w:p w:rsidR="0081039C" w:rsidRPr="005B524F" w:rsidRDefault="0081039C" w:rsidP="0081039C">
      <w:pPr>
        <w:pStyle w:val="NormalWeb"/>
        <w:shd w:val="clear" w:color="auto" w:fill="FFFFFF"/>
        <w:spacing w:before="0" w:beforeAutospacing="0" w:after="0" w:afterAutospacing="0"/>
        <w:jc w:val="both"/>
      </w:pPr>
      <w:r w:rsidRPr="005B524F">
        <w:t xml:space="preserve">Đơn vị công tác: </w:t>
      </w:r>
      <w:r w:rsidR="005B524F">
        <w:t>Khoa CN Nhiệt Lạnh</w:t>
      </w:r>
    </w:p>
    <w:p w:rsidR="005B524F" w:rsidRPr="005B524F" w:rsidRDefault="005B524F" w:rsidP="0081039C">
      <w:pPr>
        <w:pStyle w:val="NormalWeb"/>
        <w:shd w:val="clear" w:color="auto" w:fill="FFFFFF"/>
        <w:spacing w:before="0" w:beforeAutospacing="0" w:after="0" w:afterAutospacing="0"/>
        <w:jc w:val="both"/>
      </w:pPr>
    </w:p>
    <w:p w:rsidR="005B524F" w:rsidRPr="005B524F" w:rsidRDefault="005B524F" w:rsidP="005B524F">
      <w:pPr>
        <w:pStyle w:val="NormalWeb"/>
        <w:shd w:val="clear" w:color="auto" w:fill="FFFFFF"/>
        <w:spacing w:before="0" w:beforeAutospacing="0" w:after="0" w:afterAutospacing="0" w:line="360" w:lineRule="auto"/>
        <w:jc w:val="both"/>
        <w:rPr>
          <w:rStyle w:val="Strong"/>
          <w:bdr w:val="none" w:sz="0" w:space="0" w:color="auto" w:frame="1"/>
          <w:shd w:val="clear" w:color="auto" w:fill="FFFFFF"/>
        </w:rPr>
      </w:pPr>
      <w:r w:rsidRPr="005B524F">
        <w:rPr>
          <w:rStyle w:val="Strong"/>
          <w:bdr w:val="none" w:sz="0" w:space="0" w:color="auto" w:frame="1"/>
          <w:shd w:val="clear" w:color="auto" w:fill="FFFFFF"/>
        </w:rPr>
        <w:t>1. Nhận thức của cá nhân về thực trạng (Thành tựu, hạn chế và nguyên nhân), những điểm mới, quan điểm, mục tiêu, giải pháp trong Nghị quyết Hội nghị lần thứ sáu Ban chấp hành Trung ương Đảng (khóa XII).</w:t>
      </w:r>
    </w:p>
    <w:p w:rsidR="005B524F" w:rsidRPr="005B524F" w:rsidRDefault="005B524F" w:rsidP="005B524F">
      <w:pPr>
        <w:pStyle w:val="NormalWeb"/>
        <w:shd w:val="clear" w:color="auto" w:fill="FFFFFF"/>
        <w:spacing w:before="0" w:beforeAutospacing="0" w:after="0" w:afterAutospacing="0" w:line="360" w:lineRule="auto"/>
        <w:jc w:val="both"/>
      </w:pPr>
      <w:r w:rsidRPr="005B524F">
        <w:tab/>
        <w:t>Sau khi tiếp thu các nghị quyết của Hội nghị Ban chấp hành Trung Ương (TW) Đảng lần thứ 6 (khóa XII) qua học tập nghị quyết mà Hội nghị Trung ương Đảng lần thứ 6 ban hành gồm: Nghị quyết về "một số vấn đề về tiếp tục đổi mới, sắp xếp tổ chức bộ máy của hệ thống chính trị tinh gọn, hoạt động hiệu lực, hiệu quả"; Nghị quyết về "tiếp tục đổi mới hệ thống tổ chức và quản lý, nâng cao chất lượng và hiệu quả hoạt động của các đơn vị sự nghiệp công lập"; Nghị quyết về "tăng cường công tác bảo vệ, chăm sóc và nâng cao sức khoẻ nhân dân trong tình hình mới"; Nghị quyết về "công tác dân số trong tình hình mới".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i/>
          <w:iCs/>
          <w:sz w:val="24"/>
          <w:szCs w:val="24"/>
          <w:u w:val="single"/>
          <w:bdr w:val="none" w:sz="0" w:space="0" w:color="auto" w:frame="1"/>
        </w:rPr>
        <w:t>Thứ nhất</w:t>
      </w:r>
      <w:r w:rsidRPr="005B524F">
        <w:rPr>
          <w:rFonts w:eastAsia="Times New Roman" w:cs="Times New Roman"/>
          <w:i/>
          <w:iCs/>
          <w:sz w:val="24"/>
          <w:szCs w:val="24"/>
          <w:bdr w:val="none" w:sz="0" w:space="0" w:color="auto" w:frame="1"/>
        </w:rPr>
        <w:t>: Nghị quyết “Một số vấn đề về tiếp tục đổi mới, sắp xếp tổ chức bộ máy của hệ thống chính trị tinh gọn, hoạt động hiệu lực, hiệu quả”</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Khẩn trương nghiên cứu, xây dựng mô hình tổ chức tổng thể của hệ thống chính trị ở nước ta phù hợp với yêu cầu, điều kiện cụ thể trong giai đoạn mới; trên cơ sở đó xác định những công việc cần thiết và có thể triển khai thực hiện ngay.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xml:space="preserve">Xây dựng cơ chế cạnh tranh lành mạnh, công khai, minh bạch, đúng đắn trong tuyển dụng, bổ nhiệm, đề bạt cán bộ để thu hút người thực sự có đức, có tài vào làm việc trong các tổ chức của hệ thống </w:t>
      </w:r>
      <w:r w:rsidRPr="005B524F">
        <w:rPr>
          <w:rFonts w:eastAsia="Times New Roman" w:cs="Times New Roman"/>
          <w:sz w:val="24"/>
          <w:szCs w:val="24"/>
        </w:rPr>
        <w:lastRenderedPageBreak/>
        <w:t>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Đẩy mạnh cải cách hành chính, ứng dụng rộng rãi khoa học - công nghệ, nhất là công nghệ thông tin phục vụ lãnh đạo, điều hành; tinh giản tổ chức bộ máy, biên chế. Thực hiện giao và quản lý chặt chẽ biên chế trên cơ sở phân loại tổ chức, xác định rõ vị trí việc làm và tiêu chuẩn chức danh cán bộ, công chức, viên chức. Tiến hành tổng kết việc thi tuyển, bổ nhiệm, sử dụng, đánh giá và thực hiện chế độ, chính sách đãi ngộ phù hợp.</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Tăng cường phối hợp chặt chẽ giữa công tác kiểm tra của Đảng với thanh tra của Nhà nước, sự giám sát của Mặt trận Tổ quốc, các đoàn thể chính trị - xã hội, các cơ quan dân cử. Tập trung ưu tiên triển khai ngay những việc đã rõ, đã chín, có cả cơ sở lý luận và thực tiễn. Ví dụ, việc kết thúc hoạt động của các Ban Chỉ đạo Tây Bắc, Tây Nguyên, Tây Nam Bộ; tổ chức, sáp nhập Đảng bộ Ngoài nước và Đảng bộ Bộ Ngoại giao. Đẩy mạnh xây dựng tổ chức đảng và phát triển đảng viên trong các doanh nghiệp, đơn vị sự nghiệp ngoài nhà nước. Cơ bản thực hiện mô hình Bí thư cấp uỷ đồng thời là Chủ tịch Hội đồng nhân dân; thực hiện Bí thư cấp uỷ đồng thời là Chủ tịch Uỷ ban nhân dân cấp huyện, cấp xã những nơi có đủ điều kiện.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theo hướng phân định rõ hơn tổ chức chính quyền đô thị, nông thôn, hải đảo, đơn vị hành chính - kinh tế đặc biệt.</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i/>
          <w:iCs/>
          <w:sz w:val="24"/>
          <w:szCs w:val="24"/>
          <w:u w:val="single"/>
          <w:bdr w:val="none" w:sz="0" w:space="0" w:color="auto" w:frame="1"/>
        </w:rPr>
        <w:t>Thứ hai</w:t>
      </w:r>
      <w:r w:rsidRPr="005B524F">
        <w:rPr>
          <w:rFonts w:eastAsia="Times New Roman" w:cs="Times New Roman"/>
          <w:i/>
          <w:iCs/>
          <w:sz w:val="24"/>
          <w:szCs w:val="24"/>
          <w:bdr w:val="none" w:sz="0" w:space="0" w:color="auto" w:frame="1"/>
        </w:rPr>
        <w:t>: Nghị quyết về “Tiếp tục đổi mới hệ thống tổ chức và quản lý, nâng cao chất lượng, hiệu quả các đơn vị sự nghiệp công lập”</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Cùng với việc đổi mới, sắp xếp tổ chức bộ máy của hệ thống chính trị, công việc này có tầm quan trọng không kém, được ưu tiên chỉ đạo thực hiện trong thời gian tới.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Trong quá trình đổi mới, sắp xếp, phải bám sát đặc điểm tình hình của từng ngành, lĩnh vực, địa </w:t>
      </w:r>
      <w:r w:rsidRPr="005B524F">
        <w:rPr>
          <w:rFonts w:eastAsia="Times New Roman" w:cs="Times New Roman"/>
          <w:sz w:val="24"/>
          <w:szCs w:val="24"/>
        </w:rPr>
        <w:lastRenderedPageBreak/>
        <w:t>bàn, đẩy mạnh xã hội hoá, nhưng không thương mại hoá lĩnh vực dịch vụ sự nghiệp công. Đẩy mạnh việc chuyển đổi các đơn vị sự nghiệp kinh tế, sự nghiệp khoa học - công nghệ có đủ điều kiện thành doanh nghiệp, bao gồm cả hình thức công ty cổ phần.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Đẩy mạnh thực hiện cơ chế tự chủ, tự chịu trách nhiệm toàn diện về thực hiện nhiệm vụ, tổ chức bộ máy, nhân sự và tài chính cho các đơn vị sự nghiệp công lập. Chú ý rà soát, hoàn thiện cơ chế, chính sách phù hợp với từng loại hình dịch vụ sự nghiệp công và từng loại hình đơn vị sự nghiệp công lập. Đổi mới, tăng cường chế độ kế toán, hạch toán, kiểm toán, kiểm tra, thanh tra, giám sát đối với các đơn vị sự nghiệp công lập, về cơ bản tương tự như đối với doanh nghiệp nhà nước.</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Phân định rõ hoạt động thực hiện nhiệm vụ chính trị, hoạt động sự nghiệp do Nhà nước giao với hoạt động cung ứng dịch vụ theo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Hội nghị TW 6 đã thảo luận, cho ý kiến về nhiều nội dung quan trọng, phức tạp, nhạy cảm, tác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Quy định rõ quyền hạn gắn với trách nhiệm người đứng đầu các Bộ, ngành, địa phương, cơ quan, đơn vị, đặc biệt là người đứng đầu đơn vị sự nghiệp công lập. Kiên quyết xử lý nghiêm các vi phạm, sai phạm.</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i/>
          <w:iCs/>
          <w:sz w:val="24"/>
          <w:szCs w:val="24"/>
          <w:u w:val="single"/>
          <w:bdr w:val="none" w:sz="0" w:space="0" w:color="auto" w:frame="1"/>
        </w:rPr>
        <w:t>Thứ ba</w:t>
      </w:r>
      <w:r w:rsidRPr="005B524F">
        <w:rPr>
          <w:rFonts w:eastAsia="Times New Roman" w:cs="Times New Roman"/>
          <w:i/>
          <w:iCs/>
          <w:sz w:val="24"/>
          <w:szCs w:val="24"/>
          <w:bdr w:val="none" w:sz="0" w:space="0" w:color="auto" w:frame="1"/>
        </w:rPr>
        <w:t>: Nghị quyết về tăng cường công tác bảo vệ, chăm sóc, nâng cao sức khoẻ nhân dân trong tình hình mới”</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lastRenderedPageBreak/>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Các cấp uỷ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xml:space="preserve">Nâng cao chất lượng khám, chữa bệnh; nâng cao y đức; phát triển ngành dược và thiết bị y tế, bảo đảm đủ thuốc tốt và thiết bị bảo đảm chất lượng. Chăm lo phát triển nguồn nhân lực và khoa học ngành Y. Nâng cao </w:t>
      </w:r>
      <w:bookmarkStart w:id="0" w:name="_GoBack"/>
      <w:bookmarkEnd w:id="0"/>
      <w:r w:rsidRPr="005B524F">
        <w:rPr>
          <w:rFonts w:eastAsia="Times New Roman" w:cs="Times New Roman"/>
          <w:sz w:val="24"/>
          <w:szCs w:val="24"/>
        </w:rPr>
        <w:t>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i/>
          <w:iCs/>
          <w:sz w:val="24"/>
          <w:szCs w:val="24"/>
          <w:u w:val="single"/>
          <w:bdr w:val="none" w:sz="0" w:space="0" w:color="auto" w:frame="1"/>
        </w:rPr>
        <w:t>Thứ tư</w:t>
      </w:r>
      <w:r w:rsidRPr="005B524F">
        <w:rPr>
          <w:rFonts w:eastAsia="Times New Roman" w:cs="Times New Roman"/>
          <w:i/>
          <w:iCs/>
          <w:sz w:val="24"/>
          <w:szCs w:val="24"/>
          <w:bdr w:val="none" w:sz="0" w:space="0" w:color="auto" w:frame="1"/>
        </w:rPr>
        <w:t>: Nghị quyết về “Công tác dân số trong tình hình mới”</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Những năm qua, nước ta có nhiều nỗ lực và thành tựu trong công tác dân số - kế hoạch hoá gia đình. Cơ cấu dân số, cơ cấu lao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Chất lượng dân số được cải thiện về nhiều mặt. Tầm vóc, thể lực của người Việt Nam từng bước được cải thiện. Tuổi thọ trung bình tăng đáng kể (từ 65,3 tuổi lên 73,4 tuổi). Dịch vụ dân số - kế hoạch hoá gia đình được mở rộng, chất lượng ngày càng cao.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xml:space="preserve">Chính sách hạn chế mức sinh của ta kéo dài, rộng khắp cả nước bắt đầu bộc lộ những hệ luỵ cần sớm được khắc phục. Cần có sự đổi mới mạnh mẽ về tư duy, cách làm để giải quyết toàn diện, đồng bộ, </w:t>
      </w:r>
      <w:r w:rsidRPr="005B524F">
        <w:rPr>
          <w:rFonts w:eastAsia="Times New Roman" w:cs="Times New Roman"/>
          <w:sz w:val="24"/>
          <w:szCs w:val="24"/>
        </w:rPr>
        <w:lastRenderedPageBreak/>
        <w:t>có hiệu quả các vấn đề về dân số.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Ngăn ngừa tư tưởng, tâm lý không hạn chế số lần sinh con đang nổi lên những năm gần đây. Đổi mới nội dung tuyên truyền vận động về công tác dân số và phát triển. Hoàn thiện luật pháp, cơ chế, chính sách; phát triển mạng lưới và nâng cao chất lượng dịch vụ về dân số. Kiện toàn tổ chức bộ máy, nâng cao năng lực đội ngũ cán bộ dân số, đáp ứng yêu cầu của thời kỳ mới.</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b/>
          <w:bCs/>
          <w:sz w:val="24"/>
          <w:szCs w:val="24"/>
          <w:bdr w:val="none" w:sz="0" w:space="0" w:color="auto" w:frame="1"/>
        </w:rPr>
        <w:t>2. Liên hệ với việc thực hiện nhiệm vụ chính trị của địa phương, cơ quan, đơn vị và cá nhân. Đề xuất, kiến nghị các biện pháp thực hiện ở ngành, địa phương, đơn vị mình và trách nhiệm cụ thể của cá nhân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b/>
          <w:bCs/>
          <w:i/>
          <w:iCs/>
          <w:sz w:val="24"/>
          <w:szCs w:val="24"/>
          <w:bdr w:val="none" w:sz="0" w:space="0" w:color="auto" w:frame="1"/>
        </w:rPr>
        <w:t>*</w:t>
      </w:r>
      <w:r w:rsidRPr="005B524F">
        <w:rPr>
          <w:rFonts w:eastAsia="Times New Roman" w:cs="Times New Roman"/>
          <w:i/>
          <w:iCs/>
          <w:sz w:val="24"/>
          <w:szCs w:val="24"/>
          <w:bdr w:val="none" w:sz="0" w:space="0" w:color="auto" w:frame="1"/>
        </w:rPr>
        <w:t> Liên hệ với việc thực hiện nhiệm vụ chính trị của địa phương, cơ quan, đơn vị và cá nhân</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Là một giáo viên, tôi ý thức và quan tâm đến từng vấn đề mà nghị quyết Đại hội XII đã đề ra. Bản thân cần tuyên truyền sâu rộng trong quần chúng nhân dân, người thân và cán bộ những vấn đề cấp thiết mà Nghị quyết đã nêu. Xác định rõ trách nhiệm và nhiệm vụ của mình, luôn phấn đấu hoàn thành tốt nhiệm vụ được giao; tích cực nghiên cứu, học tập các Nghị quyết của Đảng các cấp, thực hiện tốt đường lối, chính sách của Đảng, pháp luật của Nhà nước;</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Thường xuyên nghiên cứu tài liệu, dự các lớp bồi dưỡng chuyên môn để đạt hiệu quả cao hơn trong công tác. Tích cực học hỏi để thích ứng với những đổi mới trong công tác giáo dục. Thường xuyên trau dồi chuyên môn 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 là tấm gương sáng cho học sinh noi theo.</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i/>
          <w:iCs/>
          <w:sz w:val="24"/>
          <w:szCs w:val="24"/>
          <w:bdr w:val="none" w:sz="0" w:space="0" w:color="auto" w:frame="1"/>
        </w:rPr>
        <w:t>* Các giải pháp nhằm thực hiện có hiệu quả Nghị quyết ở đơn vị công tác</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Bản thân tích cực tuyên truyền trong quần chúng nhân, giáo viên và học sinh những vấn đề cấp thiết mà Nghị quyết đã nêu;</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lastRenderedPageBreak/>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B524F" w:rsidRPr="005B524F" w:rsidRDefault="005B524F" w:rsidP="005B524F">
      <w:pPr>
        <w:shd w:val="clear" w:color="auto" w:fill="FFFFFF"/>
        <w:spacing w:after="0" w:line="360" w:lineRule="auto"/>
        <w:jc w:val="both"/>
        <w:rPr>
          <w:rFonts w:eastAsia="Times New Roman" w:cs="Times New Roman"/>
          <w:sz w:val="24"/>
          <w:szCs w:val="24"/>
        </w:rPr>
      </w:pPr>
      <w:r w:rsidRPr="005B524F">
        <w:rPr>
          <w:rFonts w:eastAsia="Times New Roman" w:cs="Times New Roman"/>
          <w:sz w:val="24"/>
          <w:szCs w:val="24"/>
        </w:rPr>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p>
    <w:tbl>
      <w:tblPr>
        <w:tblW w:w="9750" w:type="dxa"/>
        <w:shd w:val="clear" w:color="auto" w:fill="FFFFFF"/>
        <w:tblCellMar>
          <w:left w:w="0" w:type="dxa"/>
          <w:right w:w="0" w:type="dxa"/>
        </w:tblCellMar>
        <w:tblLook w:val="04A0" w:firstRow="1" w:lastRow="0" w:firstColumn="1" w:lastColumn="0" w:noHBand="0" w:noVBand="1"/>
      </w:tblPr>
      <w:tblGrid>
        <w:gridCol w:w="4898"/>
        <w:gridCol w:w="4852"/>
      </w:tblGrid>
      <w:tr w:rsidR="005B524F" w:rsidRPr="005B524F" w:rsidTr="005B524F">
        <w:tc>
          <w:tcPr>
            <w:tcW w:w="4845" w:type="dxa"/>
            <w:shd w:val="clear" w:color="auto" w:fill="FFFFFF"/>
            <w:vAlign w:val="center"/>
            <w:hideMark/>
          </w:tcPr>
          <w:p w:rsidR="005B524F" w:rsidRPr="005B524F" w:rsidRDefault="005B524F" w:rsidP="005B524F">
            <w:pPr>
              <w:spacing w:after="0" w:line="360" w:lineRule="auto"/>
              <w:jc w:val="center"/>
              <w:rPr>
                <w:rFonts w:eastAsia="Times New Roman" w:cs="Times New Roman"/>
                <w:sz w:val="24"/>
                <w:szCs w:val="24"/>
              </w:rPr>
            </w:pPr>
            <w:r w:rsidRPr="005B524F">
              <w:rPr>
                <w:rFonts w:eastAsia="Times New Roman" w:cs="Times New Roman"/>
                <w:sz w:val="24"/>
                <w:szCs w:val="24"/>
              </w:rPr>
              <w:t> </w:t>
            </w:r>
          </w:p>
        </w:tc>
        <w:tc>
          <w:tcPr>
            <w:tcW w:w="4800" w:type="dxa"/>
            <w:shd w:val="clear" w:color="auto" w:fill="FFFFFF"/>
            <w:vAlign w:val="center"/>
            <w:hideMark/>
          </w:tcPr>
          <w:p w:rsidR="005B524F" w:rsidRPr="005B524F" w:rsidRDefault="005B524F" w:rsidP="005B524F">
            <w:pPr>
              <w:spacing w:after="0" w:line="360" w:lineRule="auto"/>
              <w:jc w:val="center"/>
              <w:rPr>
                <w:rFonts w:eastAsia="Times New Roman" w:cs="Times New Roman"/>
                <w:sz w:val="24"/>
                <w:szCs w:val="24"/>
              </w:rPr>
            </w:pPr>
            <w:r w:rsidRPr="005B524F">
              <w:rPr>
                <w:rFonts w:eastAsia="Times New Roman" w:cs="Times New Roman"/>
                <w:b/>
                <w:bCs/>
                <w:sz w:val="24"/>
                <w:szCs w:val="24"/>
                <w:bdr w:val="none" w:sz="0" w:space="0" w:color="auto" w:frame="1"/>
              </w:rPr>
              <w:t>Người viết thu hoạch</w:t>
            </w:r>
          </w:p>
        </w:tc>
      </w:tr>
    </w:tbl>
    <w:p w:rsidR="005B524F" w:rsidRPr="005B524F" w:rsidRDefault="005B524F" w:rsidP="005B524F">
      <w:pPr>
        <w:pStyle w:val="NormalWeb"/>
        <w:shd w:val="clear" w:color="auto" w:fill="FFFFFF"/>
        <w:spacing w:before="0" w:beforeAutospacing="0" w:after="0" w:afterAutospacing="0" w:line="360" w:lineRule="auto"/>
        <w:jc w:val="both"/>
      </w:pPr>
    </w:p>
    <w:p w:rsidR="005E5BFE" w:rsidRPr="005B524F" w:rsidRDefault="005E5BFE" w:rsidP="005B524F">
      <w:pPr>
        <w:spacing w:line="360" w:lineRule="auto"/>
        <w:jc w:val="both"/>
        <w:rPr>
          <w:rFonts w:cs="Times New Roman"/>
          <w:sz w:val="24"/>
          <w:szCs w:val="24"/>
        </w:rPr>
      </w:pPr>
    </w:p>
    <w:sectPr w:rsidR="005E5BFE" w:rsidRPr="005B524F" w:rsidSect="0081039C">
      <w:pgSz w:w="11909" w:h="16834" w:code="9"/>
      <w:pgMar w:top="567"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9C"/>
    <w:rsid w:val="00470A52"/>
    <w:rsid w:val="00583812"/>
    <w:rsid w:val="005B524F"/>
    <w:rsid w:val="005E5BFE"/>
    <w:rsid w:val="00672A7E"/>
    <w:rsid w:val="00730B4B"/>
    <w:rsid w:val="0081039C"/>
    <w:rsid w:val="008775AA"/>
    <w:rsid w:val="00E72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D73C25-6499-4C93-B975-AFE10E70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1039C"/>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039C"/>
    <w:rPr>
      <w:rFonts w:eastAsia="Times New Roman" w:cs="Times New Roman"/>
      <w:b/>
      <w:bCs/>
      <w:sz w:val="36"/>
      <w:szCs w:val="36"/>
    </w:rPr>
  </w:style>
  <w:style w:type="paragraph" w:styleId="NormalWeb">
    <w:name w:val="Normal (Web)"/>
    <w:basedOn w:val="Normal"/>
    <w:uiPriority w:val="99"/>
    <w:unhideWhenUsed/>
    <w:rsid w:val="0081039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1039C"/>
    <w:rPr>
      <w:b/>
      <w:bCs/>
    </w:rPr>
  </w:style>
  <w:style w:type="character" w:styleId="Emphasis">
    <w:name w:val="Emphasis"/>
    <w:basedOn w:val="DefaultParagraphFont"/>
    <w:uiPriority w:val="20"/>
    <w:qFormat/>
    <w:rsid w:val="005B52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780608">
      <w:bodyDiv w:val="1"/>
      <w:marLeft w:val="0"/>
      <w:marRight w:val="0"/>
      <w:marTop w:val="0"/>
      <w:marBottom w:val="0"/>
      <w:divBdr>
        <w:top w:val="none" w:sz="0" w:space="0" w:color="auto"/>
        <w:left w:val="none" w:sz="0" w:space="0" w:color="auto"/>
        <w:bottom w:val="none" w:sz="0" w:space="0" w:color="auto"/>
        <w:right w:val="none" w:sz="0" w:space="0" w:color="auto"/>
      </w:divBdr>
    </w:div>
    <w:div w:id="1641032291">
      <w:bodyDiv w:val="1"/>
      <w:marLeft w:val="0"/>
      <w:marRight w:val="0"/>
      <w:marTop w:val="0"/>
      <w:marBottom w:val="0"/>
      <w:divBdr>
        <w:top w:val="none" w:sz="0" w:space="0" w:color="auto"/>
        <w:left w:val="none" w:sz="0" w:space="0" w:color="auto"/>
        <w:bottom w:val="none" w:sz="0" w:space="0" w:color="auto"/>
        <w:right w:val="none" w:sz="0" w:space="0" w:color="auto"/>
      </w:divBdr>
    </w:div>
    <w:div w:id="193516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2514</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2</cp:revision>
  <dcterms:created xsi:type="dcterms:W3CDTF">2018-03-01T09:23:00Z</dcterms:created>
  <dcterms:modified xsi:type="dcterms:W3CDTF">2018-03-01T09:37:00Z</dcterms:modified>
</cp:coreProperties>
</file>